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DC173" w14:textId="77777777" w:rsidR="00017E3F" w:rsidRDefault="00017E3F" w:rsidP="00017E3F">
      <w:pPr>
        <w:pStyle w:val="Title"/>
      </w:pPr>
      <w:r>
        <w:t>Hazard and Risk Management Procedure</w:t>
      </w:r>
    </w:p>
    <w:p w14:paraId="4BB32D72" w14:textId="2B10B14E" w:rsidR="00017E3F" w:rsidRDefault="00017E3F" w:rsidP="00017E3F">
      <w:pPr>
        <w:pStyle w:val="Heading1"/>
      </w:pPr>
      <w:r w:rsidRPr="00017E3F">
        <w:t xml:space="preserve">Appendix </w:t>
      </w:r>
      <w:r w:rsidR="0051114A">
        <w:t>3</w:t>
      </w:r>
      <w:r w:rsidRPr="00017E3F">
        <w:t>. Hierarchy of controls</w:t>
      </w:r>
    </w:p>
    <w:p w14:paraId="5EBFD57C" w14:textId="77777777" w:rsidR="00017E3F" w:rsidRPr="00017E3F" w:rsidRDefault="00017E3F" w:rsidP="00017E3F"/>
    <w:p w14:paraId="33E351FF" w14:textId="77777777" w:rsidR="00017E3F" w:rsidRDefault="00017E3F" w:rsidP="00017E3F">
      <w:pPr>
        <w:rPr>
          <w:rFonts w:asciiTheme="minorHAnsi" w:eastAsiaTheme="majorEastAsia" w:hAnsiTheme="minorHAnsi" w:cstheme="majorBidi"/>
          <w:b/>
          <w:caps/>
          <w:sz w:val="28"/>
          <w:szCs w:val="26"/>
        </w:rPr>
      </w:pPr>
      <w:r w:rsidRPr="0020020C">
        <w:rPr>
          <w:noProof/>
        </w:rPr>
        <w:drawing>
          <wp:inline distT="0" distB="0" distL="0" distR="0" wp14:anchorId="12BB9A8D" wp14:editId="4224BBC2">
            <wp:extent cx="6106816" cy="3530379"/>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98" t="7241" r="9018" b="1885"/>
                    <a:stretch/>
                  </pic:blipFill>
                  <pic:spPr bwMode="auto">
                    <a:xfrm>
                      <a:off x="0" y="0"/>
                      <a:ext cx="6196463" cy="3582204"/>
                    </a:xfrm>
                    <a:prstGeom prst="rect">
                      <a:avLst/>
                    </a:prstGeom>
                    <a:noFill/>
                    <a:ln>
                      <a:noFill/>
                    </a:ln>
                    <a:extLst>
                      <a:ext uri="{53640926-AAD7-44D8-BBD7-CCE9431645EC}">
                        <a14:shadowObscured xmlns:a14="http://schemas.microsoft.com/office/drawing/2010/main"/>
                      </a:ext>
                    </a:extLst>
                  </pic:spPr>
                </pic:pic>
              </a:graphicData>
            </a:graphic>
          </wp:inline>
        </w:drawing>
      </w:r>
    </w:p>
    <w:p w14:paraId="32CD6679" w14:textId="77777777" w:rsidR="00017E3F" w:rsidRDefault="00017E3F" w:rsidP="00017E3F">
      <w:pPr>
        <w:rPr>
          <w:rFonts w:asciiTheme="minorHAnsi" w:eastAsiaTheme="majorEastAsia" w:hAnsiTheme="minorHAnsi" w:cstheme="majorBidi"/>
          <w:b/>
          <w:caps/>
          <w:sz w:val="28"/>
          <w:szCs w:val="26"/>
        </w:rPr>
      </w:pPr>
    </w:p>
    <w:p w14:paraId="0CE10AB3" w14:textId="77777777" w:rsidR="00017E3F" w:rsidRPr="001646E8" w:rsidRDefault="00017E3F" w:rsidP="00017E3F">
      <w:pPr>
        <w:pStyle w:val="ListParagraph"/>
        <w:numPr>
          <w:ilvl w:val="1"/>
          <w:numId w:val="25"/>
        </w:numPr>
        <w:spacing w:before="120" w:after="0"/>
        <w:contextualSpacing w:val="0"/>
      </w:pPr>
      <w:r w:rsidRPr="0020020C">
        <w:t>When considering risk controls, the hierarchy of control measures must be applied in the order of most effective to least effective as follows</w:t>
      </w:r>
      <w:r>
        <w:t>:</w:t>
      </w:r>
    </w:p>
    <w:p w14:paraId="3064273B" w14:textId="77777777" w:rsidR="00017E3F" w:rsidRPr="0020020C" w:rsidRDefault="00017E3F" w:rsidP="00017E3F">
      <w:pPr>
        <w:pStyle w:val="ListParagraph"/>
        <w:numPr>
          <w:ilvl w:val="2"/>
          <w:numId w:val="25"/>
        </w:numPr>
        <w:spacing w:before="120" w:after="0"/>
        <w:contextualSpacing w:val="0"/>
      </w:pPr>
      <w:r w:rsidRPr="0020020C">
        <w:rPr>
          <w:b/>
          <w:bCs/>
        </w:rPr>
        <w:t>Elimination</w:t>
      </w:r>
      <w:r w:rsidRPr="0020020C">
        <w:t>. The most effective risk controls are ones that eliminate the risk entirely (level 1 control). This can be done by not introducing the hazard or not conducting the associated task. Examples of risk elimination are:</w:t>
      </w:r>
    </w:p>
    <w:p w14:paraId="0D41D0BD" w14:textId="77777777" w:rsidR="00017E3F" w:rsidRPr="0020020C" w:rsidRDefault="00017E3F" w:rsidP="00017E3F">
      <w:pPr>
        <w:pStyle w:val="ListParagraph"/>
        <w:numPr>
          <w:ilvl w:val="3"/>
          <w:numId w:val="25"/>
        </w:numPr>
        <w:spacing w:before="120" w:after="0"/>
        <w:contextualSpacing w:val="0"/>
      </w:pPr>
      <w:r w:rsidRPr="0020020C">
        <w:t>eliminate risk of falls by conducting work at ground level</w:t>
      </w:r>
    </w:p>
    <w:p w14:paraId="30F18F05" w14:textId="77777777" w:rsidR="00017E3F" w:rsidRPr="0020020C" w:rsidRDefault="00017E3F" w:rsidP="00017E3F">
      <w:pPr>
        <w:pStyle w:val="ListParagraph"/>
        <w:numPr>
          <w:ilvl w:val="3"/>
          <w:numId w:val="25"/>
        </w:numPr>
        <w:spacing w:before="120" w:after="0"/>
        <w:contextualSpacing w:val="0"/>
      </w:pPr>
      <w:r w:rsidRPr="0020020C">
        <w:t>eliminating a phase of an activity for which the risk does not outweigh the benefit of the activity.</w:t>
      </w:r>
    </w:p>
    <w:p w14:paraId="3E087AAC" w14:textId="77777777" w:rsidR="00017E3F" w:rsidRPr="0020020C" w:rsidRDefault="00017E3F" w:rsidP="00017E3F">
      <w:pPr>
        <w:pStyle w:val="ListParagraph"/>
        <w:numPr>
          <w:ilvl w:val="1"/>
          <w:numId w:val="25"/>
        </w:numPr>
        <w:spacing w:before="120" w:after="0"/>
        <w:contextualSpacing w:val="0"/>
      </w:pPr>
      <w:r w:rsidRPr="0020020C">
        <w:t>If it is not reasonably practicable to eliminate a risk, the risk must be minimised SFARP, by implementing one or more of the following level 2 controls:</w:t>
      </w:r>
    </w:p>
    <w:p w14:paraId="6656F9BD" w14:textId="77777777" w:rsidR="00017E3F" w:rsidRPr="0020020C" w:rsidRDefault="00017E3F" w:rsidP="00017E3F">
      <w:pPr>
        <w:pStyle w:val="ListParagraph"/>
        <w:numPr>
          <w:ilvl w:val="2"/>
          <w:numId w:val="25"/>
        </w:numPr>
        <w:spacing w:before="120" w:after="0"/>
        <w:contextualSpacing w:val="0"/>
      </w:pPr>
      <w:r w:rsidRPr="0020020C">
        <w:rPr>
          <w:b/>
          <w:bCs/>
        </w:rPr>
        <w:t>Substituting</w:t>
      </w:r>
      <w:r w:rsidRPr="0020020C">
        <w:t xml:space="preserve">. Substitute (wholly or partly) the hazard giving rise to the risk with something that gives rise to a lesser risk – for example, substituting a hazardous chemical with something less harmful. </w:t>
      </w:r>
    </w:p>
    <w:p w14:paraId="31B7BF06" w14:textId="77777777" w:rsidR="00017E3F" w:rsidRPr="0020020C" w:rsidRDefault="00017E3F" w:rsidP="00017E3F">
      <w:pPr>
        <w:pStyle w:val="ListParagraph"/>
        <w:numPr>
          <w:ilvl w:val="2"/>
          <w:numId w:val="25"/>
        </w:numPr>
        <w:spacing w:before="120" w:after="0"/>
        <w:contextualSpacing w:val="0"/>
      </w:pPr>
      <w:r w:rsidRPr="0020020C">
        <w:rPr>
          <w:b/>
          <w:bCs/>
        </w:rPr>
        <w:t xml:space="preserve">Isolating. </w:t>
      </w:r>
      <w:r w:rsidRPr="0020020C">
        <w:t>Physically separate the source of harm from people by distance or by barriers – for example ensuring that metal grinding activities are conducted well away from hazardous or combustible chemicals.</w:t>
      </w:r>
    </w:p>
    <w:p w14:paraId="71280A37" w14:textId="77777777" w:rsidR="00017E3F" w:rsidRPr="0020020C" w:rsidRDefault="00017E3F" w:rsidP="00017E3F">
      <w:pPr>
        <w:pStyle w:val="ListParagraph"/>
        <w:numPr>
          <w:ilvl w:val="2"/>
          <w:numId w:val="25"/>
        </w:numPr>
        <w:spacing w:before="120" w:after="0"/>
        <w:contextualSpacing w:val="0"/>
      </w:pPr>
      <w:r w:rsidRPr="0020020C">
        <w:rPr>
          <w:b/>
          <w:bCs/>
        </w:rPr>
        <w:t xml:space="preserve">Engineering. </w:t>
      </w:r>
      <w:r w:rsidRPr="0020020C">
        <w:t>An engineering control is physical in nature, including a mechanical device or process – for example, using mechanical devices such as trolleys or hoists to move heavy objects.</w:t>
      </w:r>
    </w:p>
    <w:p w14:paraId="6CA685A9" w14:textId="77777777" w:rsidR="002A139F" w:rsidRDefault="002A139F" w:rsidP="002A139F">
      <w:pPr>
        <w:pStyle w:val="ListParagraph"/>
        <w:spacing w:before="120" w:after="0"/>
        <w:ind w:left="567"/>
        <w:contextualSpacing w:val="0"/>
      </w:pPr>
    </w:p>
    <w:p w14:paraId="281CD34C" w14:textId="1713C62E" w:rsidR="00017E3F" w:rsidRPr="0020020C" w:rsidRDefault="00017E3F" w:rsidP="00017E3F">
      <w:pPr>
        <w:pStyle w:val="ListParagraph"/>
        <w:numPr>
          <w:ilvl w:val="1"/>
          <w:numId w:val="25"/>
        </w:numPr>
        <w:spacing w:before="120" w:after="0"/>
        <w:contextualSpacing w:val="0"/>
      </w:pPr>
      <w:r w:rsidRPr="0020020C">
        <w:lastRenderedPageBreak/>
        <w:t>If a risk remains following the application of level 2 controls, it must be minimised SFARP using one or more of the following level 3 controls (in order of precedence):</w:t>
      </w:r>
    </w:p>
    <w:p w14:paraId="74E2D310" w14:textId="77777777" w:rsidR="00017E3F" w:rsidRPr="0020020C" w:rsidRDefault="00017E3F" w:rsidP="00017E3F">
      <w:pPr>
        <w:pStyle w:val="ListParagraph"/>
        <w:numPr>
          <w:ilvl w:val="2"/>
          <w:numId w:val="25"/>
        </w:numPr>
        <w:spacing w:before="120" w:after="0"/>
        <w:contextualSpacing w:val="0"/>
      </w:pPr>
      <w:r w:rsidRPr="0020020C">
        <w:rPr>
          <w:b/>
          <w:bCs/>
        </w:rPr>
        <w:t xml:space="preserve">Administrative. </w:t>
      </w:r>
      <w:r w:rsidRPr="0020020C">
        <w:t>Administrative actions are work methods or procedures that are designed to minimise a risk – or example, checklists, signage, training, and practice or rehearsals.</w:t>
      </w:r>
    </w:p>
    <w:p w14:paraId="3CC7FF74" w14:textId="77777777" w:rsidR="00017E3F" w:rsidRPr="0020020C" w:rsidRDefault="00017E3F" w:rsidP="00017E3F">
      <w:pPr>
        <w:pStyle w:val="ListParagraph"/>
        <w:numPr>
          <w:ilvl w:val="2"/>
          <w:numId w:val="25"/>
        </w:numPr>
        <w:spacing w:before="120" w:after="0"/>
        <w:contextualSpacing w:val="0"/>
      </w:pPr>
      <w:r w:rsidRPr="0020020C">
        <w:rPr>
          <w:b/>
          <w:bCs/>
        </w:rPr>
        <w:t xml:space="preserve">Personal Protective Equipment (PPE). </w:t>
      </w:r>
      <w:r w:rsidRPr="0020020C">
        <w:t>PPE limits harmful exposure to a hazard but only if worn correctly and suitable for the task. Examples of PPE include earmuffs, gloves, safety glasses and helmets.</w:t>
      </w:r>
    </w:p>
    <w:p w14:paraId="5F9FDBAE" w14:textId="77777777" w:rsidR="00017E3F" w:rsidRDefault="00017E3F" w:rsidP="00017E3F">
      <w:pPr>
        <w:pStyle w:val="ListParagraph"/>
        <w:numPr>
          <w:ilvl w:val="1"/>
          <w:numId w:val="25"/>
        </w:numPr>
        <w:spacing w:before="120" w:after="0"/>
        <w:contextualSpacing w:val="0"/>
      </w:pPr>
      <w:r w:rsidRPr="0020020C">
        <w:t>The purpose of grouping administrative actions and PPE under level 3 is to highlight that neither of these risk controls control the hazard at the source. They rely on human behaviour and supervision and, used on their own, tend to be least effective in minimising risks. Being both rated as level 3 does not mean they carry equal legal status or effectiveness – PPE is rated less effective than administrative actions; hence the order of precedence to consider administrative actions before PPE. Note that a variety of risk controls should be used to manage a risk—no single element of the hierarchy needs to operate in isolation.</w:t>
      </w:r>
    </w:p>
    <w:p w14:paraId="65E8F9A3" w14:textId="77777777" w:rsidR="00017E3F" w:rsidRPr="00D127AE" w:rsidRDefault="00017E3F" w:rsidP="00D127AE"/>
    <w:sectPr w:rsidR="00017E3F" w:rsidRPr="00D127AE" w:rsidSect="000B0975">
      <w:headerReference w:type="even" r:id="rId12"/>
      <w:headerReference w:type="default" r:id="rId13"/>
      <w:footerReference w:type="default" r:id="rId14"/>
      <w:headerReference w:type="first" r:id="rId15"/>
      <w:footerReference w:type="first" r:id="rId16"/>
      <w:pgSz w:w="11900" w:h="16840"/>
      <w:pgMar w:top="1315" w:right="1315" w:bottom="1276" w:left="1315" w:header="85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5A5A3" w14:textId="77777777" w:rsidR="00017E3F" w:rsidRDefault="00017E3F" w:rsidP="00452E05">
      <w:r>
        <w:separator/>
      </w:r>
    </w:p>
  </w:endnote>
  <w:endnote w:type="continuationSeparator" w:id="0">
    <w:p w14:paraId="71097EE0" w14:textId="77777777" w:rsidR="00017E3F" w:rsidRDefault="00017E3F"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Times New Roman (Headings CS)">
    <w:altName w:val="Times New Roman"/>
    <w:charset w:val="00"/>
    <w:family w:val="roman"/>
    <w:pitch w:val="default"/>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10613" w14:textId="77777777" w:rsidR="001B5BCC" w:rsidRPr="000B0975" w:rsidRDefault="00447F16"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FC65A" w14:textId="77777777"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31C6C" w14:textId="77777777" w:rsidR="00017E3F" w:rsidRDefault="00017E3F" w:rsidP="00452E05">
      <w:r>
        <w:separator/>
      </w:r>
    </w:p>
  </w:footnote>
  <w:footnote w:type="continuationSeparator" w:id="0">
    <w:p w14:paraId="17DC6721" w14:textId="77777777" w:rsidR="00017E3F" w:rsidRDefault="00017E3F"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4AA09" w14:textId="77777777" w:rsidR="00C3241C" w:rsidRDefault="0051114A">
    <w:pPr>
      <w:pStyle w:val="Header"/>
    </w:pPr>
    <w:r>
      <w:rPr>
        <w:noProof/>
      </w:rPr>
      <w:pict w14:anchorId="28314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422" o:spid="_x0000_s2051" type="#_x0000_t75" alt="" style="position:absolute;margin-left:0;margin-top:0;width:595.5pt;height:842pt;z-index:-251657216;mso-wrap-edited:f;mso-width-percent:0;mso-height-percent:0;mso-position-horizontal:center;mso-position-horizontal-relative:margin;mso-position-vertical:center;mso-position-vertical-relative:margin;mso-width-percent:0;mso-height-percent:0" o:allowincell="f">
          <v:imagedata r:id="rId1" o:title="Artboard 2 copy 4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szCs w:val="20"/>
      </w:rPr>
      <w:id w:val="-1503573854"/>
      <w:docPartObj>
        <w:docPartGallery w:val="Watermarks"/>
      </w:docPartObj>
    </w:sdtPr>
    <w:sdtEndPr/>
    <w:sdtContent>
      <w:p w14:paraId="69C0630C" w14:textId="77777777" w:rsidR="00DF18F7" w:rsidRDefault="0051114A" w:rsidP="00397830">
        <w:pPr>
          <w:pStyle w:val="Header"/>
          <w:tabs>
            <w:tab w:val="clear" w:pos="4680"/>
            <w:tab w:val="clear" w:pos="9360"/>
          </w:tabs>
          <w:rPr>
            <w:noProof/>
            <w:szCs w:val="20"/>
          </w:rPr>
        </w:pPr>
        <w:r>
          <w:rPr>
            <w:noProof/>
            <w:szCs w:val="20"/>
          </w:rPr>
          <w:pict w14:anchorId="05324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423" o:spid="_x0000_s2050" type="#_x0000_t75" alt="" style="position:absolute;margin-left:0;margin-top:0;width:595.5pt;height:842pt;z-index:-251656192;mso-wrap-edited:f;mso-width-percent:0;mso-height-percent:0;mso-position-horizontal:center;mso-position-horizontal-relative:margin;mso-position-vertical:center;mso-position-vertical-relative:margin;mso-width-percent:0;mso-height-percent:0" o:allowincell="f">
              <v:imagedata r:id="rId1" o:title="Artboard 2 copy 42"/>
              <w10:wrap anchorx="margin" anchory="margin"/>
            </v:shape>
          </w:pict>
        </w:r>
      </w:p>
    </w:sdtContent>
  </w:sdt>
  <w:p w14:paraId="14A4B674" w14:textId="77777777"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3ADAF" w14:textId="77777777" w:rsidR="00C62BC1" w:rsidRDefault="0051114A">
    <w:pPr>
      <w:pStyle w:val="Header"/>
    </w:pPr>
    <w:r>
      <w:rPr>
        <w:noProof/>
      </w:rPr>
      <w:pict w14:anchorId="73D35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421" o:spid="_x0000_s2049" type="#_x0000_t75" alt="" style="position:absolute;margin-left:-66pt;margin-top:-65.9pt;width:595.5pt;height:842pt;z-index:-251658240;mso-wrap-edited:f;mso-width-percent:0;mso-height-percent:0;mso-position-horizontal-relative:margin;mso-position-vertical-relative:margin;mso-width-percent:0;mso-height-percent:0" o:allowincell="f">
          <v:imagedata r:id="rId1" o:title="Artboard 2 copy 4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626EF"/>
    <w:multiLevelType w:val="hybridMultilevel"/>
    <w:tmpl w:val="A920B14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1" w15:restartNumberingAfterBreak="0">
    <w:nsid w:val="07063366"/>
    <w:multiLevelType w:val="hybridMultilevel"/>
    <w:tmpl w:val="4170C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695030E"/>
    <w:multiLevelType w:val="hybridMultilevel"/>
    <w:tmpl w:val="B2B0A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2F3F58"/>
    <w:multiLevelType w:val="hybridMultilevel"/>
    <w:tmpl w:val="A9AE1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44D5A"/>
    <w:multiLevelType w:val="multilevel"/>
    <w:tmpl w:val="EF981920"/>
    <w:styleLink w:val="Template1"/>
    <w:lvl w:ilvl="0">
      <w:start w:val="1"/>
      <w:numFmt w:val="decimal"/>
      <w:lvlText w:val="%1."/>
      <w:lvlJc w:val="left"/>
      <w:pPr>
        <w:ind w:left="567" w:hanging="567"/>
      </w:pPr>
      <w:rPr>
        <w:rFonts w:asciiTheme="minorHAnsi" w:hAnsiTheme="minorHAnsi" w:hint="default"/>
        <w:b/>
        <w:sz w:val="28"/>
      </w:rPr>
    </w:lvl>
    <w:lvl w:ilvl="1">
      <w:start w:val="1"/>
      <w:numFmt w:val="decimal"/>
      <w:lvlText w:val="%1.%2."/>
      <w:lvlJc w:val="left"/>
      <w:pPr>
        <w:ind w:left="567" w:hanging="567"/>
      </w:pPr>
      <w:rPr>
        <w:rFonts w:ascii="Calibri Light" w:hAnsi="Calibri Light" w:hint="default"/>
        <w:sz w:val="22"/>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lowerLetter"/>
      <w:lvlText w:val="(%5)"/>
      <w:lvlJc w:val="left"/>
      <w:pPr>
        <w:ind w:left="3141" w:hanging="360"/>
      </w:pPr>
      <w:rPr>
        <w:rFonts w:hint="default"/>
      </w:rPr>
    </w:lvl>
    <w:lvl w:ilvl="5">
      <w:start w:val="1"/>
      <w:numFmt w:val="lowerRoman"/>
      <w:lvlText w:val="(%6)"/>
      <w:lvlJc w:val="left"/>
      <w:pPr>
        <w:ind w:left="3501" w:hanging="360"/>
      </w:pPr>
      <w:rPr>
        <w:rFonts w:hint="default"/>
      </w:rPr>
    </w:lvl>
    <w:lvl w:ilvl="6">
      <w:start w:val="1"/>
      <w:numFmt w:val="decimal"/>
      <w:lvlText w:val="%7."/>
      <w:lvlJc w:val="left"/>
      <w:pPr>
        <w:ind w:left="3861" w:hanging="360"/>
      </w:pPr>
      <w:rPr>
        <w:rFonts w:hint="default"/>
      </w:rPr>
    </w:lvl>
    <w:lvl w:ilvl="7">
      <w:start w:val="1"/>
      <w:numFmt w:val="lowerLetter"/>
      <w:lvlText w:val="%8."/>
      <w:lvlJc w:val="left"/>
      <w:pPr>
        <w:ind w:left="4221" w:hanging="360"/>
      </w:pPr>
      <w:rPr>
        <w:rFonts w:hint="default"/>
      </w:rPr>
    </w:lvl>
    <w:lvl w:ilvl="8">
      <w:start w:val="1"/>
      <w:numFmt w:val="lowerRoman"/>
      <w:lvlText w:val="%9."/>
      <w:lvlJc w:val="left"/>
      <w:pPr>
        <w:ind w:left="4581" w:hanging="360"/>
      </w:pPr>
      <w:rPr>
        <w:rFonts w:hint="default"/>
      </w:rPr>
    </w:lvl>
  </w:abstractNum>
  <w:abstractNum w:abstractNumId="16" w15:restartNumberingAfterBreak="0">
    <w:nsid w:val="40C74954"/>
    <w:multiLevelType w:val="hybridMultilevel"/>
    <w:tmpl w:val="A7329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E07D76"/>
    <w:multiLevelType w:val="hybridMultilevel"/>
    <w:tmpl w:val="D430E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D066F6"/>
    <w:multiLevelType w:val="hybridMultilevel"/>
    <w:tmpl w:val="574A4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BA5E5F"/>
    <w:multiLevelType w:val="hybridMultilevel"/>
    <w:tmpl w:val="654A6414"/>
    <w:lvl w:ilvl="0" w:tplc="804EA568">
      <w:start w:val="1"/>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F6C3F"/>
    <w:multiLevelType w:val="hybridMultilevel"/>
    <w:tmpl w:val="405EA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C241D5"/>
    <w:multiLevelType w:val="hybridMultilevel"/>
    <w:tmpl w:val="9DB6E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AC6DE7"/>
    <w:multiLevelType w:val="multilevel"/>
    <w:tmpl w:val="EF981920"/>
    <w:numStyleLink w:val="Template1"/>
  </w:abstractNum>
  <w:abstractNum w:abstractNumId="24" w15:restartNumberingAfterBreak="0">
    <w:nsid w:val="7F9B3A59"/>
    <w:multiLevelType w:val="hybridMultilevel"/>
    <w:tmpl w:val="5FB64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C56CAF"/>
    <w:multiLevelType w:val="hybridMultilevel"/>
    <w:tmpl w:val="9C4A4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20"/>
  </w:num>
  <w:num w:numId="13">
    <w:abstractNumId w:val="14"/>
  </w:num>
  <w:num w:numId="14">
    <w:abstractNumId w:val="17"/>
  </w:num>
  <w:num w:numId="15">
    <w:abstractNumId w:val="19"/>
  </w:num>
  <w:num w:numId="16">
    <w:abstractNumId w:val="13"/>
  </w:num>
  <w:num w:numId="17">
    <w:abstractNumId w:val="24"/>
  </w:num>
  <w:num w:numId="18">
    <w:abstractNumId w:val="11"/>
  </w:num>
  <w:num w:numId="19">
    <w:abstractNumId w:val="21"/>
  </w:num>
  <w:num w:numId="20">
    <w:abstractNumId w:val="10"/>
  </w:num>
  <w:num w:numId="21">
    <w:abstractNumId w:val="18"/>
  </w:num>
  <w:num w:numId="22">
    <w:abstractNumId w:val="16"/>
  </w:num>
  <w:num w:numId="23">
    <w:abstractNumId w:val="25"/>
  </w:num>
  <w:num w:numId="24">
    <w:abstractNumId w:val="22"/>
  </w:num>
  <w:num w:numId="25">
    <w:abstractNumId w:val="2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YE2jIIUtJemW6v1YzoBcqEjOmXBojtzXfCebYrP80sdF3l0QXoPh5gorJBP7pbV0LOh7LSP4VH4Gjpr3EEefg==" w:salt="bYh8gCJ2gSHnd770LAB+W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017E3F"/>
    <w:rsid w:val="0000037A"/>
    <w:rsid w:val="00000A01"/>
    <w:rsid w:val="00007598"/>
    <w:rsid w:val="00017E3F"/>
    <w:rsid w:val="000332D9"/>
    <w:rsid w:val="00047135"/>
    <w:rsid w:val="000A08DC"/>
    <w:rsid w:val="000B0975"/>
    <w:rsid w:val="000B2BDF"/>
    <w:rsid w:val="000D6105"/>
    <w:rsid w:val="00127477"/>
    <w:rsid w:val="001471E5"/>
    <w:rsid w:val="00160FEF"/>
    <w:rsid w:val="00186F12"/>
    <w:rsid w:val="001B5BCC"/>
    <w:rsid w:val="001D7813"/>
    <w:rsid w:val="00275AFD"/>
    <w:rsid w:val="0029790B"/>
    <w:rsid w:val="002A139F"/>
    <w:rsid w:val="00347E6A"/>
    <w:rsid w:val="00352E0F"/>
    <w:rsid w:val="0037485F"/>
    <w:rsid w:val="00384C2A"/>
    <w:rsid w:val="00397830"/>
    <w:rsid w:val="003A36DE"/>
    <w:rsid w:val="003E30BF"/>
    <w:rsid w:val="004135F6"/>
    <w:rsid w:val="00432829"/>
    <w:rsid w:val="00444794"/>
    <w:rsid w:val="00447F16"/>
    <w:rsid w:val="00452E05"/>
    <w:rsid w:val="00476905"/>
    <w:rsid w:val="00494903"/>
    <w:rsid w:val="005021EC"/>
    <w:rsid w:val="0051114A"/>
    <w:rsid w:val="005364A9"/>
    <w:rsid w:val="005564DE"/>
    <w:rsid w:val="00571FEF"/>
    <w:rsid w:val="005B1C72"/>
    <w:rsid w:val="005B6F71"/>
    <w:rsid w:val="005C0733"/>
    <w:rsid w:val="005E6863"/>
    <w:rsid w:val="00630192"/>
    <w:rsid w:val="00710665"/>
    <w:rsid w:val="00725256"/>
    <w:rsid w:val="00752E7B"/>
    <w:rsid w:val="007D0B7D"/>
    <w:rsid w:val="007E32A1"/>
    <w:rsid w:val="007E4752"/>
    <w:rsid w:val="00802D3E"/>
    <w:rsid w:val="00825CC8"/>
    <w:rsid w:val="008326DE"/>
    <w:rsid w:val="008C382A"/>
    <w:rsid w:val="008F246D"/>
    <w:rsid w:val="00924A6A"/>
    <w:rsid w:val="009377C3"/>
    <w:rsid w:val="009D673D"/>
    <w:rsid w:val="009F3EFC"/>
    <w:rsid w:val="009F4AD0"/>
    <w:rsid w:val="00A3382D"/>
    <w:rsid w:val="00A61120"/>
    <w:rsid w:val="00A72D40"/>
    <w:rsid w:val="00AE12D1"/>
    <w:rsid w:val="00B658DB"/>
    <w:rsid w:val="00B9245E"/>
    <w:rsid w:val="00BB309E"/>
    <w:rsid w:val="00BE0325"/>
    <w:rsid w:val="00C3241C"/>
    <w:rsid w:val="00C53632"/>
    <w:rsid w:val="00C62BC1"/>
    <w:rsid w:val="00C74BB4"/>
    <w:rsid w:val="00CE2018"/>
    <w:rsid w:val="00D127AE"/>
    <w:rsid w:val="00DA6CF7"/>
    <w:rsid w:val="00DF18F7"/>
    <w:rsid w:val="00DF47F4"/>
    <w:rsid w:val="00E01514"/>
    <w:rsid w:val="00E25FB6"/>
    <w:rsid w:val="00E44A4D"/>
    <w:rsid w:val="00E81C8A"/>
    <w:rsid w:val="00E82E56"/>
    <w:rsid w:val="00E944C1"/>
    <w:rsid w:val="00EC2C66"/>
    <w:rsid w:val="00FA07CA"/>
    <w:rsid w:val="00FC7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A5D566"/>
  <w15:chartTrackingRefBased/>
  <w15:docId w15:val="{CE5CEF29-E3C0-4DC5-9BF6-9CEBFFE0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007598"/>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007598"/>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character" w:styleId="UnresolvedMention">
    <w:name w:val="Unresolved Mention"/>
    <w:basedOn w:val="DefaultParagraphFont"/>
    <w:uiPriority w:val="99"/>
    <w:semiHidden/>
    <w:unhideWhenUsed/>
    <w:rsid w:val="00A61120"/>
    <w:rPr>
      <w:color w:val="605E5C"/>
      <w:shd w:val="clear" w:color="auto" w:fill="E1DFDD"/>
    </w:rPr>
  </w:style>
  <w:style w:type="character" w:styleId="FollowedHyperlink">
    <w:name w:val="FollowedHyperlink"/>
    <w:basedOn w:val="DefaultParagraphFont"/>
    <w:uiPriority w:val="99"/>
    <w:semiHidden/>
    <w:unhideWhenUsed/>
    <w:rsid w:val="008F246D"/>
    <w:rPr>
      <w:color w:val="71CE9B" w:themeColor="followedHyperlink"/>
      <w:u w:val="single"/>
    </w:rPr>
  </w:style>
  <w:style w:type="numbering" w:customStyle="1" w:styleId="Template1">
    <w:name w:val="Template1"/>
    <w:uiPriority w:val="99"/>
    <w:rsid w:val="00017E3F"/>
    <w:pPr>
      <w:numPr>
        <w:numId w:val="26"/>
      </w:numPr>
    </w:pPr>
  </w:style>
  <w:style w:type="character" w:customStyle="1" w:styleId="ListParagraphChar">
    <w:name w:val="List Paragraph Char"/>
    <w:basedOn w:val="DefaultParagraphFont"/>
    <w:link w:val="ListParagraph"/>
    <w:uiPriority w:val="34"/>
    <w:rsid w:val="00017E3F"/>
    <w:rPr>
      <w:rFonts w:asciiTheme="majorHAnsi" w:eastAsiaTheme="minorEastAsia" w:hAnsiTheme="majorHAnsi" w:cs="Times New Roman (Body CS)"/>
      <w:color w:val="000000" w:themeColor="text1"/>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charlesdarwinuni.sharepoint.com/teams/CDUAssetsLibrary/CDU%20Office%20Templates/General%20Use%20Graphic%20Portrait.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c26897-9c00-4d6f-8629-5a568c4e0676">
      <Terms xmlns="http://schemas.microsoft.com/office/infopath/2007/PartnerControls"/>
    </lcf76f155ced4ddcb4097134ff3c332f>
    <TaxCatchAll xmlns="da3994a5-5608-40c3-95e4-a735fbd59589" xsi:nil="true"/>
    <TemplateType xmlns="9fc26897-9c00-4d6f-8629-5a568c4e0676">General</Template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4FF12832A9944BA20950CDDF80FAF0" ma:contentTypeVersion="10" ma:contentTypeDescription="Create a new document." ma:contentTypeScope="" ma:versionID="8836bf9aab23371001e7dcdd965cfdb9">
  <xsd:schema xmlns:xsd="http://www.w3.org/2001/XMLSchema" xmlns:xs="http://www.w3.org/2001/XMLSchema" xmlns:p="http://schemas.microsoft.com/office/2006/metadata/properties" xmlns:ns2="9fc26897-9c00-4d6f-8629-5a568c4e0676" xmlns:ns3="da3994a5-5608-40c3-95e4-a735fbd59589" xmlns:ns4="990150f4-07ad-41d1-9ea5-4bfae14c47a9" targetNamespace="http://schemas.microsoft.com/office/2006/metadata/properties" ma:root="true" ma:fieldsID="22b3f0b07e82a50e13227ec2dc5b478e" ns2:_="" ns3:_="" ns4:_="">
    <xsd:import namespace="9fc26897-9c00-4d6f-8629-5a568c4e0676"/>
    <xsd:import namespace="da3994a5-5608-40c3-95e4-a735fbd59589"/>
    <xsd:import namespace="990150f4-07ad-41d1-9ea5-4bfae14c47a9"/>
    <xsd:element name="properties">
      <xsd:complexType>
        <xsd:sequence>
          <xsd:element name="documentManagement">
            <xsd:complexType>
              <xsd:all>
                <xsd:element ref="ns2:MediaServiceMetadata" minOccurs="0"/>
                <xsd:element ref="ns2:MediaServiceFastMetadata" minOccurs="0"/>
                <xsd:element ref="ns2:TemplateType"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26897-9c00-4d6f-8629-5a568c4e0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mplateType" ma:index="10" nillable="true" ma:displayName="Template Type" ma:format="Dropdown" ma:internalName="TemplateType">
      <xsd:simpleType>
        <xsd:union memberTypes="dms:Text">
          <xsd:simpleType>
            <xsd:restriction base="dms:Choice">
              <xsd:enumeration value="Meeting"/>
              <xsd:enumeration value="Report"/>
              <xsd:enumeration value="Electronic Letterhead"/>
              <xsd:enumeration value="General"/>
              <xsd:enumeration value="PowerPoint"/>
            </xsd:restriction>
          </xsd:simpleType>
        </xsd:un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3994a5-5608-40c3-95e4-a735fbd5958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2c1264-86e2-45f3-97d5-00d9a8df9e67}" ma:internalName="TaxCatchAll" ma:showField="CatchAllData" ma:web="990150f4-07ad-41d1-9ea5-4bfae14c4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0150f4-07ad-41d1-9ea5-4bfae14c47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8BDA0-1794-4648-A363-7C3B2A20C399}">
  <ds:schemaRefs>
    <ds:schemaRef ds:uri="http://schemas.openxmlformats.org/officeDocument/2006/bibliography"/>
  </ds:schemaRefs>
</ds:datastoreItem>
</file>

<file path=customXml/itemProps2.xml><?xml version="1.0" encoding="utf-8"?>
<ds:datastoreItem xmlns:ds="http://schemas.openxmlformats.org/officeDocument/2006/customXml" ds:itemID="{D0D30333-B4ED-4186-BBFA-258EA437866A}">
  <ds:schemaRefs>
    <ds:schemaRef ds:uri="http://schemas.microsoft.com/sharepoint/v3/contenttype/forms"/>
  </ds:schemaRefs>
</ds:datastoreItem>
</file>

<file path=customXml/itemProps3.xml><?xml version="1.0" encoding="utf-8"?>
<ds:datastoreItem xmlns:ds="http://schemas.openxmlformats.org/officeDocument/2006/customXml" ds:itemID="{3AE4F759-EAC3-44FC-AE38-8403FD26D0EE}">
  <ds:schemaRefs>
    <ds:schemaRef ds:uri="http://schemas.microsoft.com/office/2006/metadata/properties"/>
    <ds:schemaRef ds:uri="http://schemas.microsoft.com/office/infopath/2007/PartnerControls"/>
    <ds:schemaRef ds:uri="9fc26897-9c00-4d6f-8629-5a568c4e0676"/>
    <ds:schemaRef ds:uri="da3994a5-5608-40c3-95e4-a735fbd59589"/>
  </ds:schemaRefs>
</ds:datastoreItem>
</file>

<file path=customXml/itemProps4.xml><?xml version="1.0" encoding="utf-8"?>
<ds:datastoreItem xmlns:ds="http://schemas.openxmlformats.org/officeDocument/2006/customXml" ds:itemID="{AC55543F-0645-4CF4-AA31-86F985E6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26897-9c00-4d6f-8629-5a568c4e0676"/>
    <ds:schemaRef ds:uri="da3994a5-5608-40c3-95e4-a735fbd59589"/>
    <ds:schemaRef ds:uri="990150f4-07ad-41d1-9ea5-4bfae14c4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General%20Use%20Graphic%20Portrait</Template>
  <TotalTime>5</TotalTime>
  <Pages>2</Pages>
  <Words>380</Words>
  <Characters>2169</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Geane Massey</dc:creator>
  <cp:keywords/>
  <dc:description/>
  <cp:lastModifiedBy>Geane Massey</cp:lastModifiedBy>
  <cp:revision>6</cp:revision>
  <cp:lastPrinted>2020-03-11T05:16:00Z</cp:lastPrinted>
  <dcterms:created xsi:type="dcterms:W3CDTF">2022-06-21T00:30:00Z</dcterms:created>
  <dcterms:modified xsi:type="dcterms:W3CDTF">2022-06-21T01:35:00Z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0x0101000C4FF12832A9944BA20950CDDF80FAF0</vt:lpwstr>
  </property>
  <property fmtid="{D5CDD505-2E9C-101B-9397-08002B2CF9AE}" pid="3" name="MediaServiceImageTags">
    <vt:lpwstr/>
  </property>
</Properties>
</file>